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大同市农业农村局其他行政执法行为实施情况统计表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841"/>
        <w:gridCol w:w="633"/>
        <w:gridCol w:w="864"/>
        <w:gridCol w:w="829"/>
        <w:gridCol w:w="743"/>
        <w:gridCol w:w="863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行政征收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检查</w:t>
            </w:r>
          </w:p>
        </w:tc>
        <w:tc>
          <w:tcPr>
            <w:tcW w:w="146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行政裁决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行政给付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行政奖励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总金额（万元）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6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涉及金额（万元）</w:t>
            </w: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给付总金额（万元）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次数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奖励总金额（万元）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56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0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5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2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3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6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29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4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6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180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1、“行政征收次数”“行政裁决次数”“行政确认次数”“行政奖励次数”“行政给付次数”“其他行政执法行为”的统计范围为统计年度1月1日至12月31日期间完成的数量。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632E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2023-02-03T03:31:48Z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B8D65E1B329D46008412D4AA0669A8F7</vt:lpwstr>
  </property>
</Properties>
</file>