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rPr>
        <w:t>大同市产品质量监督抽查实施细则</w:t>
      </w:r>
    </w:p>
    <w:p>
      <w:pPr>
        <w:jc w:val="center"/>
        <w:rPr>
          <w:rFonts w:hint="eastAsia" w:ascii="宋体" w:hAnsi="宋体" w:eastAsia="宋体" w:cs="宋体"/>
          <w:b/>
          <w:sz w:val="21"/>
          <w:szCs w:val="21"/>
        </w:rPr>
      </w:pPr>
      <w:r>
        <w:rPr>
          <w:rFonts w:hint="eastAsia" w:ascii="宋体" w:hAnsi="宋体" w:eastAsia="宋体" w:cs="宋体"/>
          <w:color w:val="000000"/>
          <w:sz w:val="21"/>
          <w:szCs w:val="21"/>
        </w:rPr>
        <w:t>车用汽油</w:t>
      </w:r>
    </w:p>
    <w:p>
      <w:pPr>
        <w:spacing w:line="360" w:lineRule="auto"/>
        <w:ind w:firstLine="210" w:firstLineChars="100"/>
        <w:rPr>
          <w:rFonts w:hint="eastAsia" w:ascii="宋体" w:hAnsi="宋体" w:eastAsia="宋体" w:cs="宋体"/>
          <w:bCs/>
          <w:sz w:val="21"/>
          <w:szCs w:val="21"/>
        </w:rPr>
      </w:pPr>
    </w:p>
    <w:p>
      <w:pPr>
        <w:spacing w:line="360" w:lineRule="auto"/>
        <w:ind w:firstLine="210" w:firstLineChars="100"/>
        <w:rPr>
          <w:rFonts w:hint="eastAsia" w:ascii="宋体" w:hAnsi="宋体" w:eastAsia="宋体" w:cs="宋体"/>
          <w:bCs/>
          <w:sz w:val="21"/>
          <w:szCs w:val="21"/>
        </w:rPr>
      </w:pPr>
      <w:r>
        <w:rPr>
          <w:rFonts w:hint="eastAsia" w:ascii="宋体" w:hAnsi="宋体" w:eastAsia="宋体" w:cs="宋体"/>
          <w:bCs/>
          <w:sz w:val="21"/>
          <w:szCs w:val="21"/>
        </w:rPr>
        <w:t>1 抽样方法</w:t>
      </w:r>
    </w:p>
    <w:p>
      <w:pPr>
        <w:spacing w:line="360" w:lineRule="auto"/>
        <w:ind w:left="360" w:firstLine="420" w:firstLineChars="200"/>
        <w:rPr>
          <w:rFonts w:hint="eastAsia" w:ascii="宋体" w:hAnsi="宋体" w:eastAsia="宋体" w:cs="宋体"/>
          <w:color w:val="000000"/>
          <w:sz w:val="21"/>
          <w:szCs w:val="21"/>
        </w:rPr>
      </w:pPr>
      <w:r>
        <w:rPr>
          <w:rFonts w:hint="eastAsia" w:ascii="宋体" w:hAnsi="宋体" w:eastAsia="宋体" w:cs="宋体"/>
          <w:sz w:val="21"/>
          <w:szCs w:val="21"/>
        </w:rPr>
        <w:t>在企业的成品库或市场待销产品的成品罐抽样时</w:t>
      </w:r>
      <w:r>
        <w:rPr>
          <w:rFonts w:hint="eastAsia" w:ascii="宋体" w:hAnsi="宋体" w:eastAsia="宋体" w:cs="宋体"/>
          <w:color w:val="000000"/>
          <w:sz w:val="21"/>
          <w:szCs w:val="21"/>
        </w:rPr>
        <w:t>，按照GB/T 4756-2015《液体石油产品手工取样法》执行；在加油站抽样时，直接在加油机油枪口取样。取4L为样本，其中检验样本2L,备用样品2L，盛装在合适的容器中。</w:t>
      </w:r>
    </w:p>
    <w:p>
      <w:pPr>
        <w:spacing w:line="360" w:lineRule="auto"/>
        <w:ind w:firstLine="210" w:firstLineChars="100"/>
        <w:rPr>
          <w:rFonts w:hint="eastAsia" w:ascii="宋体" w:hAnsi="宋体" w:eastAsia="宋体" w:cs="宋体"/>
          <w:bCs/>
          <w:color w:val="000000"/>
          <w:sz w:val="21"/>
          <w:szCs w:val="21"/>
        </w:rPr>
      </w:pPr>
      <w:r>
        <w:rPr>
          <w:rFonts w:hint="eastAsia" w:ascii="宋体" w:hAnsi="宋体" w:eastAsia="宋体" w:cs="宋体"/>
          <w:bCs/>
          <w:color w:val="000000"/>
          <w:sz w:val="21"/>
          <w:szCs w:val="21"/>
        </w:rPr>
        <w:t>2 检验依据</w:t>
      </w:r>
    </w:p>
    <w:p>
      <w:pPr>
        <w:spacing w:line="360" w:lineRule="auto"/>
        <w:ind w:firstLine="3360" w:firstLineChars="1600"/>
        <w:rPr>
          <w:rFonts w:hint="eastAsia" w:ascii="宋体" w:hAnsi="宋体" w:eastAsia="宋体" w:cs="宋体"/>
          <w:color w:val="000000"/>
          <w:sz w:val="21"/>
          <w:szCs w:val="21"/>
        </w:rPr>
      </w:pPr>
      <w:r>
        <w:rPr>
          <w:rFonts w:hint="eastAsia" w:ascii="宋体" w:hAnsi="宋体" w:eastAsia="宋体" w:cs="宋体"/>
          <w:color w:val="000000"/>
          <w:sz w:val="21"/>
          <w:szCs w:val="21"/>
        </w:rPr>
        <w:t>车用汽油检验依据</w:t>
      </w:r>
    </w:p>
    <w:tbl>
      <w:tblPr>
        <w:tblStyle w:val="5"/>
        <w:tblpPr w:leftFromText="180" w:rightFromText="180" w:vertAnchor="text" w:horzAnchor="page" w:tblpX="1847" w:tblpY="25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160"/>
        <w:gridCol w:w="3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384" w:type="dxa"/>
            <w:vMerge w:val="restart"/>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3160" w:type="dxa"/>
            <w:vMerge w:val="restart"/>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检验项目</w:t>
            </w:r>
          </w:p>
        </w:tc>
        <w:tc>
          <w:tcPr>
            <w:tcW w:w="3460" w:type="dxa"/>
            <w:vMerge w:val="restart"/>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84" w:type="dxa"/>
            <w:vMerge w:val="continue"/>
            <w:noWrap w:val="0"/>
            <w:vAlign w:val="center"/>
          </w:tcPr>
          <w:p>
            <w:pPr>
              <w:spacing w:line="360" w:lineRule="auto"/>
              <w:jc w:val="center"/>
              <w:rPr>
                <w:rFonts w:hint="eastAsia" w:ascii="宋体" w:hAnsi="宋体" w:eastAsia="宋体" w:cs="宋体"/>
                <w:color w:val="000000"/>
                <w:sz w:val="21"/>
                <w:szCs w:val="21"/>
              </w:rPr>
            </w:pPr>
          </w:p>
        </w:tc>
        <w:tc>
          <w:tcPr>
            <w:tcW w:w="3160" w:type="dxa"/>
            <w:vMerge w:val="continue"/>
            <w:noWrap w:val="0"/>
            <w:vAlign w:val="center"/>
          </w:tcPr>
          <w:p>
            <w:pPr>
              <w:spacing w:line="360" w:lineRule="auto"/>
              <w:jc w:val="center"/>
              <w:rPr>
                <w:rFonts w:hint="eastAsia" w:ascii="宋体" w:hAnsi="宋体" w:eastAsia="宋体" w:cs="宋体"/>
                <w:color w:val="000000"/>
                <w:sz w:val="21"/>
                <w:szCs w:val="21"/>
              </w:rPr>
            </w:pPr>
          </w:p>
        </w:tc>
        <w:tc>
          <w:tcPr>
            <w:tcW w:w="3460" w:type="dxa"/>
            <w:vMerge w:val="continue"/>
            <w:noWrap w:val="0"/>
            <w:vAlign w:val="center"/>
          </w:tcPr>
          <w:p>
            <w:pPr>
              <w:spacing w:line="36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384" w:type="dxa"/>
            <w:vMerge w:val="continue"/>
            <w:noWrap w:val="0"/>
            <w:vAlign w:val="center"/>
          </w:tcPr>
          <w:p>
            <w:pPr>
              <w:spacing w:line="360" w:lineRule="auto"/>
              <w:jc w:val="center"/>
              <w:rPr>
                <w:rFonts w:hint="eastAsia" w:ascii="宋体" w:hAnsi="宋体" w:eastAsia="宋体" w:cs="宋体"/>
                <w:color w:val="000000"/>
                <w:sz w:val="21"/>
                <w:szCs w:val="21"/>
              </w:rPr>
            </w:pPr>
          </w:p>
        </w:tc>
        <w:tc>
          <w:tcPr>
            <w:tcW w:w="3160" w:type="dxa"/>
            <w:vMerge w:val="continue"/>
            <w:noWrap w:val="0"/>
            <w:vAlign w:val="center"/>
          </w:tcPr>
          <w:p>
            <w:pPr>
              <w:spacing w:line="360" w:lineRule="auto"/>
              <w:jc w:val="center"/>
              <w:rPr>
                <w:rFonts w:hint="eastAsia" w:ascii="宋体" w:hAnsi="宋体" w:eastAsia="宋体" w:cs="宋体"/>
                <w:color w:val="000000"/>
                <w:sz w:val="21"/>
                <w:szCs w:val="21"/>
              </w:rPr>
            </w:pPr>
          </w:p>
        </w:tc>
        <w:tc>
          <w:tcPr>
            <w:tcW w:w="3460" w:type="dxa"/>
            <w:vMerge w:val="continue"/>
            <w:noWrap w:val="0"/>
            <w:vAlign w:val="center"/>
          </w:tcPr>
          <w:p>
            <w:pPr>
              <w:spacing w:line="36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馏程</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GB/T 6536-2010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机械杂质及水分</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硫含量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SH/T 0689-2000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密度</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GB/T 1884-2000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氧含量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NB/SH/T0663-2014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甲醇含量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NB/SH/T0663-2014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苯含量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SH/T0713-2002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铅含量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GB/T8020-2015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锰含量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NB/SH/T0711-2019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84"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31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铁含量</w:t>
            </w:r>
          </w:p>
        </w:tc>
        <w:tc>
          <w:tcPr>
            <w:tcW w:w="3460" w:type="dxa"/>
            <w:noWrap w:val="0"/>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SH/T0712-2002</w:t>
            </w:r>
          </w:p>
        </w:tc>
      </w:tr>
    </w:tbl>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spacing w:line="360" w:lineRule="auto"/>
        <w:ind w:firstLine="1890" w:firstLineChars="9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p>
    <w:p>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执行企业标准、团体标准、地方标准的产品，检验项目参照上述内容执行。</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凡是注日期的文件，其随后所有的修改单（不包括勘误的内容）或修订版不适用于本细则。凡是不注日期的文件，其最新版本适用于本细则。</w:t>
      </w:r>
    </w:p>
    <w:p>
      <w:pPr>
        <w:adjustRightInd w:val="0"/>
        <w:snapToGrid w:val="0"/>
        <w:spacing w:line="360" w:lineRule="auto"/>
        <w:rPr>
          <w:rFonts w:hint="eastAsia" w:ascii="宋体" w:hAnsi="宋体" w:eastAsia="宋体" w:cs="宋体"/>
          <w:bCs/>
          <w:color w:val="000000"/>
          <w:sz w:val="21"/>
          <w:szCs w:val="21"/>
        </w:rPr>
      </w:pPr>
      <w:r>
        <w:rPr>
          <w:rFonts w:hint="eastAsia" w:ascii="宋体" w:hAnsi="宋体" w:eastAsia="宋体" w:cs="宋体"/>
          <w:bCs/>
          <w:color w:val="000000"/>
          <w:sz w:val="21"/>
          <w:szCs w:val="21"/>
        </w:rPr>
        <w:t>3 判定规则</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3.1依据标准</w:t>
      </w:r>
    </w:p>
    <w:p>
      <w:pPr>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GB 17930-2016《车用汽油》</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现行有效的企业标准、团体标准、地方标准及产品明示质量要求。</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3.2判定原则</w:t>
      </w:r>
    </w:p>
    <w:p>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sz w:val="21"/>
          <w:szCs w:val="21"/>
        </w:rPr>
        <w:t>经检验，检验项目全部合格，判定为被抽</w:t>
      </w:r>
      <w:r>
        <w:rPr>
          <w:rFonts w:hint="eastAsia" w:ascii="宋体" w:hAnsi="宋体" w:eastAsia="宋体" w:cs="宋体"/>
          <w:color w:val="000000"/>
          <w:sz w:val="21"/>
          <w:szCs w:val="21"/>
        </w:rPr>
        <w:t>查产品所检项目未发现不合格；检验项目中任一项或一项以上不合格，判定为被抽查产品不合格。</w:t>
      </w:r>
    </w:p>
    <w:p>
      <w:pPr>
        <w:adjustRightInd w:val="0"/>
        <w:snapToGrid w:val="0"/>
        <w:spacing w:line="360" w:lineRule="auto"/>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若被检产品明示的质量要求高于本细则中检验项目依据的标准要求时，应按被检产品明示的质量要求判定。</w:t>
      </w:r>
    </w:p>
    <w:p>
      <w:pPr>
        <w:adjustRightInd w:val="0"/>
        <w:snapToGrid w:val="0"/>
        <w:spacing w:line="360" w:lineRule="auto"/>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若被检产品明示的质量要求低于本细则中检验项目依据的强制性标准要求时，应按照强制性标准要求判定。</w:t>
      </w:r>
    </w:p>
    <w:p>
      <w:pPr>
        <w:adjustRightInd w:val="0"/>
        <w:snapToGrid w:val="0"/>
        <w:spacing w:line="360" w:lineRule="auto"/>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若被检产品明示的质量要求低于或包含本细则中检验项目依据的推荐性标准要求时，应以被检产品明示的质量要求判定。</w:t>
      </w:r>
    </w:p>
    <w:p>
      <w:pPr>
        <w:adjustRightInd w:val="0"/>
        <w:snapToGrid w:val="0"/>
        <w:spacing w:line="360" w:lineRule="auto"/>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若被检产品明示的质量要求缺少本细则中检验项目依据的强制性标准要求时，应按照强制性标准要求判定。</w:t>
      </w:r>
    </w:p>
    <w:p>
      <w:pPr>
        <w:adjustRightInd w:val="0"/>
        <w:snapToGrid w:val="0"/>
        <w:spacing w:line="360" w:lineRule="auto"/>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若被检产品明示的质量要求缺少本细则中检验项目依据的推荐性标准要求时，该项目不参与判定。</w:t>
      </w:r>
    </w:p>
    <w:p>
      <w:pPr>
        <w:spacing w:line="360" w:lineRule="auto"/>
        <w:rPr>
          <w:rFonts w:hint="eastAsia" w:ascii="宋体" w:hAnsi="宋体" w:eastAsia="宋体" w:cs="宋体"/>
          <w:sz w:val="21"/>
          <w:szCs w:val="21"/>
        </w:rPr>
      </w:pPr>
      <w:r>
        <w:rPr>
          <w:rFonts w:hint="eastAsia" w:ascii="宋体" w:hAnsi="宋体" w:eastAsia="宋体" w:cs="宋体"/>
          <w:sz w:val="21"/>
          <w:szCs w:val="21"/>
        </w:rPr>
        <w:t>3.3车用汽油判定结论用语</w:t>
      </w:r>
    </w:p>
    <w:p>
      <w:pPr>
        <w:spacing w:line="360" w:lineRule="auto"/>
        <w:rPr>
          <w:rFonts w:hint="eastAsia" w:ascii="宋体" w:hAnsi="宋体" w:eastAsia="宋体" w:cs="宋体"/>
          <w:sz w:val="21"/>
          <w:szCs w:val="21"/>
        </w:rPr>
      </w:pPr>
      <w:r>
        <w:rPr>
          <w:rFonts w:hint="eastAsia" w:ascii="宋体" w:hAnsi="宋体" w:eastAsia="宋体" w:cs="宋体"/>
          <w:sz w:val="21"/>
          <w:szCs w:val="21"/>
        </w:rPr>
        <w:t>3.3.1合格结论用语：经抽样检验，所检项目符合GB 17930-2016《车用汽油》,依据大同市市场监督管理局《大同市车用汽油产品质量监督抽查实施细则》2022年度，判定该被抽查产品所检项目未发现不合格。</w:t>
      </w:r>
    </w:p>
    <w:p>
      <w:pPr>
        <w:spacing w:line="360" w:lineRule="auto"/>
        <w:rPr>
          <w:rFonts w:hint="eastAsia" w:ascii="宋体" w:hAnsi="宋体" w:eastAsia="宋体" w:cs="宋体"/>
          <w:sz w:val="21"/>
          <w:szCs w:val="21"/>
        </w:rPr>
      </w:pPr>
      <w:r>
        <w:rPr>
          <w:rFonts w:hint="eastAsia" w:ascii="宋体" w:hAnsi="宋体" w:eastAsia="宋体" w:cs="宋体"/>
          <w:sz w:val="21"/>
          <w:szCs w:val="21"/>
        </w:rPr>
        <w:t>3.3.2不合格结论用语：经抽样检验，XXX项目不符合GB 17930-2016《车用汽油》,依据大同市市场监督管理局《大同市车用汽油产品质量监督抽查实施细则》2022年度，判定该被抽查产品为不合格。</w:t>
      </w:r>
    </w:p>
    <w:p>
      <w:pPr>
        <w:snapToGrid w:val="0"/>
        <w:spacing w:line="440" w:lineRule="exact"/>
        <w:ind w:firstLine="420" w:firstLineChars="200"/>
        <w:rPr>
          <w:rFonts w:hint="eastAsia" w:ascii="宋体" w:hAnsi="宋体" w:eastAsia="宋体" w:cs="宋体"/>
          <w:sz w:val="21"/>
          <w:szCs w:val="21"/>
        </w:rPr>
      </w:pPr>
    </w:p>
    <w:sectPr>
      <w:headerReference r:id="rId3" w:type="default"/>
      <w:footerReference r:id="rId4" w:type="default"/>
      <w:pgSz w:w="11906" w:h="16838"/>
      <w:pgMar w:top="1134" w:right="1247" w:bottom="737" w:left="1418" w:header="851" w:footer="56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p>
  <w:p>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posOffset>2971800</wp:posOffset>
              </wp:positionH>
              <wp:positionV relativeFrom="paragraph">
                <wp:posOffset>61595</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34pt;margin-top:4.85pt;height:10.35pt;width:4.55pt;mso-position-horizontal-relative:margin;mso-wrap-style:none;z-index:251659264;mso-width-relative:page;mso-height-relative:page;" filled="f" stroked="f" coordsize="21600,21600" o:gfxdata="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VjmdNkAAAAIAQAADwAAAAAAAAAB&#10;ACAAAAAiAAAAZHJzL2Rvd25yZXYueG1sUEsBAhQAFAAAAAgAh07iQF/5tlrWAQAAoAMAAA4AAAAA&#10;AAAAAQAgAAAAKAEAAGRycy9lMm9Eb2MueG1sUEsFBgAAAAAGAAYAWQEAAHAFAAAAAA==&#10;">
              <v:fill on="f" focussize="0,0"/>
              <v:stroke on="f" weight="1.25pt"/>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v:textbox>
            </v:shape>
          </w:pict>
        </mc:Fallback>
      </mc:AlternateContent>
    </w:r>
  </w:p>
  <w:p>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5MmFjYzkxMWE2MWUyOGZkODRhNjk3NDQyMzQ4MjgifQ=="/>
  </w:docVars>
  <w:rsids>
    <w:rsidRoot w:val="003B5039"/>
    <w:rsid w:val="00013A72"/>
    <w:rsid w:val="00031C45"/>
    <w:rsid w:val="0006792D"/>
    <w:rsid w:val="000744F4"/>
    <w:rsid w:val="0008619F"/>
    <w:rsid w:val="00087156"/>
    <w:rsid w:val="000A01F1"/>
    <w:rsid w:val="000A0531"/>
    <w:rsid w:val="000A1F2C"/>
    <w:rsid w:val="000B15AA"/>
    <w:rsid w:val="000D72D2"/>
    <w:rsid w:val="000D7823"/>
    <w:rsid w:val="000F63B1"/>
    <w:rsid w:val="001008A2"/>
    <w:rsid w:val="00104059"/>
    <w:rsid w:val="00126CEA"/>
    <w:rsid w:val="00131867"/>
    <w:rsid w:val="001374E1"/>
    <w:rsid w:val="00143C05"/>
    <w:rsid w:val="00145064"/>
    <w:rsid w:val="001534AF"/>
    <w:rsid w:val="00154219"/>
    <w:rsid w:val="001560A6"/>
    <w:rsid w:val="001646AD"/>
    <w:rsid w:val="00172076"/>
    <w:rsid w:val="0018115F"/>
    <w:rsid w:val="00192BA3"/>
    <w:rsid w:val="001952F1"/>
    <w:rsid w:val="001B419D"/>
    <w:rsid w:val="001C7C47"/>
    <w:rsid w:val="001D0A17"/>
    <w:rsid w:val="001D34C2"/>
    <w:rsid w:val="001D532F"/>
    <w:rsid w:val="001E2A00"/>
    <w:rsid w:val="001E3BEE"/>
    <w:rsid w:val="001E72CB"/>
    <w:rsid w:val="001F67B6"/>
    <w:rsid w:val="00200806"/>
    <w:rsid w:val="002076A1"/>
    <w:rsid w:val="0021748B"/>
    <w:rsid w:val="00224379"/>
    <w:rsid w:val="00225021"/>
    <w:rsid w:val="00225D3C"/>
    <w:rsid w:val="002267F9"/>
    <w:rsid w:val="0023298A"/>
    <w:rsid w:val="00234FBC"/>
    <w:rsid w:val="00236944"/>
    <w:rsid w:val="00236C52"/>
    <w:rsid w:val="002607E0"/>
    <w:rsid w:val="002679C8"/>
    <w:rsid w:val="00283702"/>
    <w:rsid w:val="002854CF"/>
    <w:rsid w:val="002954FC"/>
    <w:rsid w:val="002A44D6"/>
    <w:rsid w:val="002A73CB"/>
    <w:rsid w:val="002D3CD6"/>
    <w:rsid w:val="002D4B5F"/>
    <w:rsid w:val="002D7E29"/>
    <w:rsid w:val="002E0A93"/>
    <w:rsid w:val="002E6331"/>
    <w:rsid w:val="002F31B7"/>
    <w:rsid w:val="002F58AB"/>
    <w:rsid w:val="003019B3"/>
    <w:rsid w:val="003113BB"/>
    <w:rsid w:val="0031245B"/>
    <w:rsid w:val="00321042"/>
    <w:rsid w:val="00330E70"/>
    <w:rsid w:val="003355BD"/>
    <w:rsid w:val="00351846"/>
    <w:rsid w:val="0037400F"/>
    <w:rsid w:val="003805EB"/>
    <w:rsid w:val="00386AC4"/>
    <w:rsid w:val="00397142"/>
    <w:rsid w:val="003A6002"/>
    <w:rsid w:val="003A7D64"/>
    <w:rsid w:val="003A7FFD"/>
    <w:rsid w:val="003B3494"/>
    <w:rsid w:val="003B5039"/>
    <w:rsid w:val="003E5160"/>
    <w:rsid w:val="003E5529"/>
    <w:rsid w:val="003E78B2"/>
    <w:rsid w:val="004006E1"/>
    <w:rsid w:val="00410700"/>
    <w:rsid w:val="004212B2"/>
    <w:rsid w:val="004328D2"/>
    <w:rsid w:val="0043361E"/>
    <w:rsid w:val="0043515D"/>
    <w:rsid w:val="00464B12"/>
    <w:rsid w:val="00475AEC"/>
    <w:rsid w:val="00477F2B"/>
    <w:rsid w:val="004871E9"/>
    <w:rsid w:val="00490639"/>
    <w:rsid w:val="004913F5"/>
    <w:rsid w:val="004A3206"/>
    <w:rsid w:val="004E5A21"/>
    <w:rsid w:val="004F0754"/>
    <w:rsid w:val="00541C0A"/>
    <w:rsid w:val="005541AF"/>
    <w:rsid w:val="00556612"/>
    <w:rsid w:val="00565ABE"/>
    <w:rsid w:val="005666FD"/>
    <w:rsid w:val="005727D2"/>
    <w:rsid w:val="005733A7"/>
    <w:rsid w:val="00575E80"/>
    <w:rsid w:val="00581B1D"/>
    <w:rsid w:val="00585B45"/>
    <w:rsid w:val="00591E43"/>
    <w:rsid w:val="005965CF"/>
    <w:rsid w:val="005A1974"/>
    <w:rsid w:val="005B63F2"/>
    <w:rsid w:val="005C0C98"/>
    <w:rsid w:val="005C0FD9"/>
    <w:rsid w:val="005D04ED"/>
    <w:rsid w:val="005D2CF8"/>
    <w:rsid w:val="00603EEF"/>
    <w:rsid w:val="00634F44"/>
    <w:rsid w:val="00646DB4"/>
    <w:rsid w:val="0065450A"/>
    <w:rsid w:val="00662AAE"/>
    <w:rsid w:val="006704A6"/>
    <w:rsid w:val="00691C0C"/>
    <w:rsid w:val="00696F20"/>
    <w:rsid w:val="006B33BC"/>
    <w:rsid w:val="006C7052"/>
    <w:rsid w:val="006D2363"/>
    <w:rsid w:val="006E5378"/>
    <w:rsid w:val="006E7DF7"/>
    <w:rsid w:val="006F670E"/>
    <w:rsid w:val="007027CE"/>
    <w:rsid w:val="00710695"/>
    <w:rsid w:val="0072785E"/>
    <w:rsid w:val="00734F8A"/>
    <w:rsid w:val="007470FC"/>
    <w:rsid w:val="00761B2D"/>
    <w:rsid w:val="00770B7B"/>
    <w:rsid w:val="0077645F"/>
    <w:rsid w:val="0078471C"/>
    <w:rsid w:val="00793782"/>
    <w:rsid w:val="007C0158"/>
    <w:rsid w:val="007C5499"/>
    <w:rsid w:val="007D0880"/>
    <w:rsid w:val="007E1934"/>
    <w:rsid w:val="007E2025"/>
    <w:rsid w:val="0080430C"/>
    <w:rsid w:val="008050D2"/>
    <w:rsid w:val="008062F9"/>
    <w:rsid w:val="00824BEB"/>
    <w:rsid w:val="00842B85"/>
    <w:rsid w:val="00853571"/>
    <w:rsid w:val="0089558B"/>
    <w:rsid w:val="008971EB"/>
    <w:rsid w:val="008C72F4"/>
    <w:rsid w:val="008C779F"/>
    <w:rsid w:val="008D16EC"/>
    <w:rsid w:val="008D2DA0"/>
    <w:rsid w:val="008F403C"/>
    <w:rsid w:val="00907B04"/>
    <w:rsid w:val="00910639"/>
    <w:rsid w:val="00911C60"/>
    <w:rsid w:val="00937960"/>
    <w:rsid w:val="00957EBC"/>
    <w:rsid w:val="00973856"/>
    <w:rsid w:val="009856FA"/>
    <w:rsid w:val="009A7B86"/>
    <w:rsid w:val="009B2545"/>
    <w:rsid w:val="009B595B"/>
    <w:rsid w:val="009B7F3C"/>
    <w:rsid w:val="009D63EA"/>
    <w:rsid w:val="009E513F"/>
    <w:rsid w:val="009F1717"/>
    <w:rsid w:val="00A006D6"/>
    <w:rsid w:val="00A02EDD"/>
    <w:rsid w:val="00A13B27"/>
    <w:rsid w:val="00A1782D"/>
    <w:rsid w:val="00A42EB3"/>
    <w:rsid w:val="00A46733"/>
    <w:rsid w:val="00A839DD"/>
    <w:rsid w:val="00A9194C"/>
    <w:rsid w:val="00AA7C21"/>
    <w:rsid w:val="00AC22E9"/>
    <w:rsid w:val="00AC48BA"/>
    <w:rsid w:val="00AD36F7"/>
    <w:rsid w:val="00AF21FD"/>
    <w:rsid w:val="00B165FA"/>
    <w:rsid w:val="00B2744B"/>
    <w:rsid w:val="00B37A7C"/>
    <w:rsid w:val="00B57096"/>
    <w:rsid w:val="00B715AD"/>
    <w:rsid w:val="00B8076F"/>
    <w:rsid w:val="00B878B6"/>
    <w:rsid w:val="00BB6ACC"/>
    <w:rsid w:val="00BC2B83"/>
    <w:rsid w:val="00BD1706"/>
    <w:rsid w:val="00BE0090"/>
    <w:rsid w:val="00BE124D"/>
    <w:rsid w:val="00BE4D82"/>
    <w:rsid w:val="00C00C46"/>
    <w:rsid w:val="00C338B0"/>
    <w:rsid w:val="00C35C05"/>
    <w:rsid w:val="00C378BF"/>
    <w:rsid w:val="00C61B42"/>
    <w:rsid w:val="00C6335F"/>
    <w:rsid w:val="00C76186"/>
    <w:rsid w:val="00C77995"/>
    <w:rsid w:val="00C80400"/>
    <w:rsid w:val="00C84728"/>
    <w:rsid w:val="00C85AB2"/>
    <w:rsid w:val="00C93ABB"/>
    <w:rsid w:val="00CB0228"/>
    <w:rsid w:val="00CB689B"/>
    <w:rsid w:val="00CC5B5F"/>
    <w:rsid w:val="00CC7765"/>
    <w:rsid w:val="00CD139D"/>
    <w:rsid w:val="00CD755E"/>
    <w:rsid w:val="00CE38F7"/>
    <w:rsid w:val="00CF5A54"/>
    <w:rsid w:val="00CF6863"/>
    <w:rsid w:val="00D03114"/>
    <w:rsid w:val="00D04B98"/>
    <w:rsid w:val="00D40D7E"/>
    <w:rsid w:val="00D468A2"/>
    <w:rsid w:val="00D529E4"/>
    <w:rsid w:val="00D855F9"/>
    <w:rsid w:val="00DA0C61"/>
    <w:rsid w:val="00DA6275"/>
    <w:rsid w:val="00DB277D"/>
    <w:rsid w:val="00DC1323"/>
    <w:rsid w:val="00DC2249"/>
    <w:rsid w:val="00DC248A"/>
    <w:rsid w:val="00DD05A6"/>
    <w:rsid w:val="00DD427A"/>
    <w:rsid w:val="00DF4D48"/>
    <w:rsid w:val="00E037D6"/>
    <w:rsid w:val="00E04092"/>
    <w:rsid w:val="00E07452"/>
    <w:rsid w:val="00E112B3"/>
    <w:rsid w:val="00E312DF"/>
    <w:rsid w:val="00E36842"/>
    <w:rsid w:val="00E36D8F"/>
    <w:rsid w:val="00E46038"/>
    <w:rsid w:val="00E56B49"/>
    <w:rsid w:val="00E7610B"/>
    <w:rsid w:val="00E7748A"/>
    <w:rsid w:val="00E77902"/>
    <w:rsid w:val="00EA0BBE"/>
    <w:rsid w:val="00EA3D6E"/>
    <w:rsid w:val="00EB0980"/>
    <w:rsid w:val="00EF4F59"/>
    <w:rsid w:val="00EF6439"/>
    <w:rsid w:val="00F02004"/>
    <w:rsid w:val="00F13975"/>
    <w:rsid w:val="00F15543"/>
    <w:rsid w:val="00F31F84"/>
    <w:rsid w:val="00F3719E"/>
    <w:rsid w:val="00F44B39"/>
    <w:rsid w:val="00F521A3"/>
    <w:rsid w:val="00F57CBA"/>
    <w:rsid w:val="00F90D3B"/>
    <w:rsid w:val="00F95040"/>
    <w:rsid w:val="00FA3A10"/>
    <w:rsid w:val="00FB54FA"/>
    <w:rsid w:val="00FD4C8B"/>
    <w:rsid w:val="00FD7FE3"/>
    <w:rsid w:val="00FF4000"/>
    <w:rsid w:val="089B0953"/>
    <w:rsid w:val="09625919"/>
    <w:rsid w:val="106B725B"/>
    <w:rsid w:val="10CB2F75"/>
    <w:rsid w:val="13921E7F"/>
    <w:rsid w:val="16383F10"/>
    <w:rsid w:val="18293001"/>
    <w:rsid w:val="1A2E0EE0"/>
    <w:rsid w:val="20223523"/>
    <w:rsid w:val="2818066E"/>
    <w:rsid w:val="28895E7F"/>
    <w:rsid w:val="2A866483"/>
    <w:rsid w:val="31183614"/>
    <w:rsid w:val="34AB6DD0"/>
    <w:rsid w:val="3576188B"/>
    <w:rsid w:val="358A50E6"/>
    <w:rsid w:val="37C72527"/>
    <w:rsid w:val="3E013F4B"/>
    <w:rsid w:val="3E9C2B03"/>
    <w:rsid w:val="3F6A1D82"/>
    <w:rsid w:val="3FA46542"/>
    <w:rsid w:val="4BCC7A74"/>
    <w:rsid w:val="4E54254E"/>
    <w:rsid w:val="4EB82A50"/>
    <w:rsid w:val="4FAA2CA3"/>
    <w:rsid w:val="4FED3A61"/>
    <w:rsid w:val="503C2460"/>
    <w:rsid w:val="51F43B6D"/>
    <w:rsid w:val="52EE135A"/>
    <w:rsid w:val="52F71E64"/>
    <w:rsid w:val="55221FDD"/>
    <w:rsid w:val="555F71B1"/>
    <w:rsid w:val="57244713"/>
    <w:rsid w:val="57840B01"/>
    <w:rsid w:val="63203A90"/>
    <w:rsid w:val="6521014B"/>
    <w:rsid w:val="75247FA0"/>
    <w:rsid w:val="76EF6E95"/>
    <w:rsid w:val="782A7755"/>
    <w:rsid w:val="7C7C57E7"/>
    <w:rsid w:val="7F2D26F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2</Pages>
  <Words>816</Words>
  <Characters>998</Characters>
  <Lines>7</Lines>
  <Paragraphs>2</Paragraphs>
  <TotalTime>0</TotalTime>
  <ScaleCrop>false</ScaleCrop>
  <LinksUpToDate>false</LinksUpToDate>
  <CharactersWithSpaces>1012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2014-08-11T02:58:00Z</dcterms:created>
  <dc:creator>微软用户</dc:creator>
  <cp:lastModifiedBy>zza</cp:lastModifiedBy>
  <cp:lastPrinted>2021-09-17T01:05:00Z</cp:lastPrinted>
  <dcterms:modified xsi:type="dcterms:W3CDTF">2023-11-10T02:04:08Z</dcterms:modified>
  <dc:title>2014年第3季度车用汽柴油监督抽查方案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B048B291740846BCAFD264C663867979_13</vt:lpwstr>
  </property>
</Properties>
</file>